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733" w:rsidRDefault="00297733" w:rsidP="0029773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Приложение №1</w:t>
      </w:r>
      <w:r>
        <w:rPr>
          <w:rFonts w:ascii="Times New Roman" w:hAnsi="Times New Roman" w:cs="Times New Roman"/>
          <w:i/>
          <w:sz w:val="20"/>
          <w:szCs w:val="20"/>
        </w:rPr>
        <w:t>8</w:t>
      </w:r>
    </w:p>
    <w:p w:rsidR="00297733" w:rsidRPr="00A55A5A" w:rsidRDefault="00297733" w:rsidP="0029773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к</w:t>
      </w:r>
      <w:r w:rsidRPr="00A55A5A">
        <w:rPr>
          <w:rFonts w:ascii="Times New Roman" w:hAnsi="Times New Roman" w:cs="Times New Roman"/>
          <w:i/>
          <w:sz w:val="20"/>
          <w:szCs w:val="20"/>
        </w:rPr>
        <w:t xml:space="preserve"> приказу ФГБУ ДПНС «Озеро Карачи»</w:t>
      </w:r>
    </w:p>
    <w:p w:rsidR="00297733" w:rsidRPr="00A55A5A" w:rsidRDefault="00297733" w:rsidP="0029773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A55A5A">
        <w:rPr>
          <w:rFonts w:ascii="Times New Roman" w:hAnsi="Times New Roman" w:cs="Times New Roman"/>
          <w:i/>
          <w:sz w:val="20"/>
          <w:szCs w:val="20"/>
        </w:rPr>
        <w:t xml:space="preserve"> Минздрава России  от 30.12.2025 № 60-п</w:t>
      </w:r>
    </w:p>
    <w:p w:rsidR="00DE3C0E" w:rsidRDefault="00DE3C0E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E3C0E" w:rsidTr="00DE3C0E">
        <w:tc>
          <w:tcPr>
            <w:tcW w:w="4785" w:type="dxa"/>
          </w:tcPr>
          <w:p w:rsidR="00DE3C0E" w:rsidRDefault="00DE3C0E" w:rsidP="00DF57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DE3C0E" w:rsidRDefault="00DE3C0E" w:rsidP="00DE3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E3C0E" w:rsidRDefault="00DE3C0E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DE3C0E" w:rsidRPr="00DE3C0E" w:rsidRDefault="00DE3C0E" w:rsidP="00DE3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3C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Методика формирования резерва</w:t>
      </w:r>
    </w:p>
    <w:p w:rsidR="00DE3C0E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</w:p>
    <w:p w:rsidR="00DF57E7" w:rsidRPr="00DF57E7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Единица бухгалтерского учета по резервам определяется в следующем порядке:</w:t>
      </w:r>
    </w:p>
    <w:p w:rsidR="00DF57E7" w:rsidRPr="00DF57E7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для резерва по гарантийному ремонту - вид товара (услуги), при продаже (оказании) которых предоставляется гарантия;</w:t>
      </w:r>
    </w:p>
    <w:p w:rsidR="00DF57E7" w:rsidRPr="00DF57E7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для резерва по претензиям и искам - каждый предъявленное требование (иск);</w:t>
      </w:r>
    </w:p>
    <w:p w:rsidR="00DF57E7" w:rsidRPr="00DF57E7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для резерва по реструктуризации - наименование мероприятия по реструктуризации;</w:t>
      </w:r>
    </w:p>
    <w:p w:rsidR="00DF57E7" w:rsidRPr="00DF57E7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для резерва по убыточным договорам - единичный договор;</w:t>
      </w:r>
    </w:p>
    <w:p w:rsidR="00DF57E7" w:rsidRPr="00DF57E7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для резерва на демонтаж и вывод основных средств из эксплуатации - инвентарный объект основных средств;</w:t>
      </w:r>
    </w:p>
    <w:p w:rsidR="00DF57E7" w:rsidRPr="00DF57E7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для резерва под снижение стоимости материальных запасов - номенклатурная (реестровая) единица;</w:t>
      </w:r>
    </w:p>
    <w:p w:rsidR="00DF57E7" w:rsidRPr="00DF57E7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для резерва предстоящей оплаты отпусков за фактически отработанное время (</w:t>
      </w:r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компенсаций за неиспользованный отпуск) - все сотрудники;</w:t>
      </w:r>
    </w:p>
    <w:p w:rsidR="00DF57E7" w:rsidRPr="00DF57E7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784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для резерва под приемку – вид поставленного товара, сданных (завершенных) работ (отдельных этапов исполнения), предоставленных (потребленных)  услуг; </w:t>
      </w:r>
      <w:proofErr w:type="gramEnd"/>
    </w:p>
    <w:p w:rsidR="00DF57E7" w:rsidRPr="00DF57E7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84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для резерва под обязательства, по которым отсутствуют первичные </w:t>
      </w:r>
      <w:r w:rsidRPr="00EB78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документы – </w:t>
      </w:r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предоставленных (потребленных)  услуг;</w:t>
      </w:r>
    </w:p>
    <w:p w:rsidR="00DF57E7" w:rsidRPr="00DF57E7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11) для резерва по арендным обязательствам – договор операционной аренды.</w:t>
      </w:r>
    </w:p>
    <w:p w:rsidR="00DF57E7" w:rsidRPr="00DF57E7" w:rsidRDefault="00E64ED3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DF57E7"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Суммы резерва по претензиям и искам признаются в учете в полной сумме претензионных требований. Информация для начислени</w:t>
      </w:r>
      <w:r w:rsidR="00DF57E7" w:rsidRPr="00EB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резерва по претензиям и искам </w:t>
      </w:r>
      <w:r w:rsidRPr="00EB78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поступает в бухга</w:t>
      </w:r>
      <w:r w:rsidR="00DF57E7"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лтерию в</w:t>
      </w:r>
      <w:r w:rsidR="00DF57E7" w:rsidRPr="00DF5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течение трех рабочих дней со дня поступления претензии, но не позднее последнего рабочего дня квартала </w:t>
      </w:r>
      <w:r w:rsidR="00DF57E7"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обязательным указанием следующих данных:</w:t>
      </w:r>
    </w:p>
    <w:p w:rsidR="00DF57E7" w:rsidRPr="00DF57E7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насколько велика вероятность того, что выполнять претензионные требования не придется (в частности, могут быть указаны следующие варианты «высокая вероятность», «низкая вероятность», «оспаривать претензию Учреждение не планирует»);</w:t>
      </w:r>
    </w:p>
    <w:p w:rsidR="00DF57E7" w:rsidRPr="00DF57E7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- будет ли организована работа по досудебному урегулированию претензии.</w:t>
      </w:r>
    </w:p>
    <w:p w:rsidR="00DF57E7" w:rsidRPr="00DF57E7" w:rsidRDefault="00E64ED3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F57E7"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Резерв по претензионным требованиям и искам признается в полной сумме с учетом ожидаемых расходов на оплату государственной пошлины и судебных издержек к возмещению. </w:t>
      </w:r>
    </w:p>
    <w:p w:rsidR="00DF57E7" w:rsidRPr="00DF57E7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недостаточности сумм созданных резервов соответствующее превышение фактически произведенных расходов признается расходами (затратами) текущего периода.</w:t>
      </w:r>
    </w:p>
    <w:p w:rsidR="00DF57E7" w:rsidRPr="00DF57E7" w:rsidRDefault="00E64ED3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F57E7"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резервов осуществляется в оценочном значении. Метод расчета суммовых величин каждого резерва определяется соответствующими СГС, Методическими рекомендациями</w:t>
      </w:r>
      <w:r w:rsidR="00DF57E7" w:rsidRPr="00DF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Минфина России по применению СГС и настоящее Учетной политикой.</w:t>
      </w:r>
    </w:p>
    <w:p w:rsidR="00DF57E7" w:rsidRPr="00DF57E7" w:rsidRDefault="00E64ED3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F57E7"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корректировка суммы резервов (счет 401 60), отложенных обязательств (счет 502 99) осуществляется ежеквартально перед составлением бухгалтерской отчетности.</w:t>
      </w:r>
    </w:p>
    <w:p w:rsidR="00DF57E7" w:rsidRPr="00DF57E7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в учете расходов, в отношении которых сформирован резерв, осуществляется за счет суммы созданного резерва.</w:t>
      </w:r>
    </w:p>
    <w:p w:rsidR="00DF57E7" w:rsidRPr="00DF57E7" w:rsidRDefault="00E64ED3" w:rsidP="00DF5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F57E7"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Резерв на оплату отпусков за фактически отработанное время и компенсаций за неиспользованный отпуск, в том числе при увольнении сотрудника, включая платежи на </w:t>
      </w:r>
      <w:r w:rsidR="00DF57E7"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обязательное социальное страхование, начисляется (корректируется) на основании сведений кадровой службы о количестве дней отпуска, </w:t>
      </w:r>
      <w:proofErr w:type="gramStart"/>
      <w:r w:rsidR="00DF57E7"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proofErr w:type="gramEnd"/>
      <w:r w:rsidR="00DF57E7"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представление которого имеют сотрудники за фактически отработанное время.</w:t>
      </w:r>
    </w:p>
    <w:p w:rsidR="00DF57E7" w:rsidRPr="00DF57E7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начисления в учете резерва является Справка-расчет суммы резерва расходов на оплату предстоящих отпусков.</w:t>
      </w:r>
    </w:p>
    <w:p w:rsidR="00DF57E7" w:rsidRPr="00DF57E7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E7">
        <w:rPr>
          <w:rFonts w:ascii="Times New Roman" w:eastAsia="Times New Roman" w:hAnsi="Times New Roman" w:cs="Times New Roman"/>
          <w:sz w:val="24"/>
          <w:szCs w:val="24"/>
          <w:lang w:eastAsia="ar-SA"/>
        </w:rPr>
        <w:t>В целях начисления сумм резервов на оплату отпусков кадровая служба еже</w:t>
      </w:r>
      <w:r w:rsidR="00E64ED3" w:rsidRPr="00EB7840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годно перед годовой отчетностью</w:t>
      </w:r>
      <w:r w:rsidRPr="00DF57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предоставляет в Бухгалтерию информацию о неиспользованных днях отпуска сотрудников.</w:t>
      </w:r>
    </w:p>
    <w:p w:rsidR="00DF57E7" w:rsidRPr="00DF57E7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резерва учитываются суммы страховых взносов, которые будут начислены на выплаты, произведенные в пользу работников, учитывая тарифы страховых взносов, определенные законодательством.</w:t>
      </w:r>
    </w:p>
    <w:p w:rsidR="00DF57E7" w:rsidRPr="00DF57E7" w:rsidRDefault="00E64ED3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DF57E7"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среднего заработка за неотработанные дни отпуска (отпуска «авансом») и сумма соответствующих страховых взносов отражаются по дебету счета 0 401 50 2ХХ и кредиту счетов 0 302 11 737, 0 303 ХХ 731.</w:t>
      </w:r>
    </w:p>
    <w:p w:rsidR="00DF57E7" w:rsidRPr="00DF57E7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среднего заработка за неотработанные дни отпуска (отпуска «авансом»), отраженная при начислении среднего заработка по дебету счета 0 401 50 2ХХ, подлежит списанию в дебет счетов 0 401 20 2ХХ (0 109 ХХ ХХХ) ежемесячно в сумме среднего заработка, за отработанные в истекшем месяце дни отпуска.</w:t>
      </w:r>
    </w:p>
    <w:p w:rsidR="00DF57E7" w:rsidRPr="00DF57E7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среднего заработка за отпуск, право на который возникло в период между последней датой корректировки резерва и фактической датой начала отпуска, и сумма соответствующих страховых взносов отражаются по дебету счетов 0 401 20 2ХХ (0 109 ХХ ХХХ) и кредиту счетов 0 302 11 737, 0 303 ХХ 731.</w:t>
      </w:r>
    </w:p>
    <w:p w:rsidR="00DF57E7" w:rsidRPr="00DF57E7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среднего заработка за отпуск, право на который возникло до последней даты корректировки резерва, отражаются по дебету счетов 0 401 60 2ХХ и кредиту счетов 0 302 11 737, 0 303 ХХ 731.</w:t>
      </w:r>
    </w:p>
    <w:p w:rsidR="00DF57E7" w:rsidRPr="00DF57E7" w:rsidRDefault="00DF57E7" w:rsidP="00DF5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(работ, услуг), по которым предоставляется гарантия.</w:t>
      </w:r>
    </w:p>
    <w:p w:rsidR="00DF57E7" w:rsidRPr="00DF57E7" w:rsidRDefault="00E64ED3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="00DF57E7"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 под приемку, а именно резерв, отражающий обязательные предстоящие оплаты за поставленные материальные ценности, сданные (завершенные) работы, предоставленные (потребленные) услуги, обусловленные обязанностью заказчика (Учреждения) принять и исполнить денежное обязательство по результатам приемки поставленных товаров (выполненных работ, оказанных услуг), создается в случае оформления документа о приемке не в день поставки товара, сдачи результатов работ, оказания услуг.</w:t>
      </w:r>
      <w:proofErr w:type="gramEnd"/>
      <w:r w:rsidR="00DF57E7"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дата фактического получения (поставки) товара, передачи результата работы, фактического оказания (потребления) услуги наступает ранее даты документа приемки. </w:t>
      </w:r>
    </w:p>
    <w:p w:rsidR="00DF57E7" w:rsidRPr="00DF57E7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условии, что факт поставки товара, выполнения работы, оказания услуги и факт приемки поставки (результатов работ, услуг) осуществляются одновременно, с оформлением (подписанием двумя сторонами) в этот же день документа о приемке, резерв не создается.</w:t>
      </w:r>
    </w:p>
    <w:p w:rsidR="00DF57E7" w:rsidRPr="00DF57E7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создания резерва под приемку факт поставки товара (материальных ценностей) или выполнения (передачи) результатов работ в Учреждение в обязательном порядке должен быть подтвержден документом (например, товарной накладной, иным отгрузочным документом, актом приема-передачи, иным актом), оформленным и подписанным со стороны Учреждения ранее даты подписания заказчиком (Учреждением) документа приемки.</w:t>
      </w:r>
    </w:p>
    <w:p w:rsidR="00DF57E7" w:rsidRPr="00DF57E7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иных документов, подтверждающих факт выполнения (передачи) результатов работ до подписания документов о приемке работ заказчиком, резерв под приемку результатов работ может формироваться с момента уведомления подрядчиком Учреждения-заказчика о завершении работ, в том числе  на основании подписанного исполнителем  документа о приемке, при условии, что дата завершения работ наступила ранее даты подписания документа приемки заказчиком (Учреждением).</w:t>
      </w:r>
      <w:proofErr w:type="gramEnd"/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дата подписания подрядчиком документа о приемке рассматривается как дата фактического </w:t>
      </w:r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завершения работ подрядчиком (факт уведомления о завершении работ и готовности к сдаче-приемке).</w:t>
      </w:r>
    </w:p>
    <w:p w:rsidR="00DF57E7" w:rsidRPr="00DF57E7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 под приемку по услугам может формироваться на основании подписанного исполнителем  документа о приемке при отсутствии иных документов, подтверждающих оказание услуг, при условии, что факт оказания (потребления) услуги (с учетом периода ее оказания, указанного в документе о приемке) наступил ранее даты подписания документа приемки заказчиком (Учреждением).</w:t>
      </w:r>
    </w:p>
    <w:p w:rsidR="00DF57E7" w:rsidRPr="00DF57E7" w:rsidRDefault="00E64ED3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DF57E7"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резерва под приемку за поставленные материальные ценности отражается по дебету соответствующего счета аналитического учета счета 106 ХХ «Вложения в НФА». </w:t>
      </w:r>
    </w:p>
    <w:p w:rsidR="00DF57E7" w:rsidRPr="00DF57E7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составляет резерв под приемку потребляемых материальных запасов, которые с момента их поступления в Учреждение используются или необходимы в деятельности Учреждения (будут использованы) до момента их приемки. К таким материальным запасам относятся:</w:t>
      </w:r>
    </w:p>
    <w:p w:rsidR="00DF57E7" w:rsidRPr="00DF57E7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топливо (бензин, дизтопливо, иные виды топлива, используемые в транспортном средстве с момента его заправки);</w:t>
      </w:r>
    </w:p>
    <w:p w:rsidR="00DF57E7" w:rsidRPr="00DF57E7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продукты питания;</w:t>
      </w:r>
    </w:p>
    <w:p w:rsidR="00DF57E7" w:rsidRPr="00DF57E7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медикаменты (лекарственные средства и препараты).</w:t>
      </w:r>
    </w:p>
    <w:p w:rsidR="00DF57E7" w:rsidRPr="00DF57E7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gramStart"/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потребляемым</w:t>
      </w:r>
      <w:proofErr w:type="gramEnd"/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МЗ резерв под приемку формируется по дебету счета 105 ХХ и кредиту счета 401 60 без использования счета 106 00 при их принятии к учету по фактической стоимости приобретения.</w:t>
      </w:r>
    </w:p>
    <w:p w:rsidR="00DF57E7" w:rsidRPr="00DF57E7" w:rsidRDefault="00E64ED3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DF57E7"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приемки производится </w:t>
      </w:r>
      <w:r w:rsidR="00DF57E7" w:rsidRPr="00EB78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списание</w:t>
      </w:r>
      <w:r w:rsidR="00DF57E7"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неиспользованной суммы ранее сформированного резерва под приемку </w:t>
      </w:r>
      <w:r w:rsidR="00DF57E7" w:rsidRPr="00EB78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не принятого объема поставок материальных ценностей, результатов работ, услуг проводкой, обратной созданию резерва</w:t>
      </w:r>
      <w:r w:rsidR="00DF57E7"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F57E7" w:rsidRPr="00DF57E7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дебету счета 401 60 "Резервы предстоящих расходов" и кредиту соответствующих счетов 401 20 "Расходы экономического субъекта", 109 00 "Затраты на изготовление готовой продукции, выполнение работ, услуг", 106 00 «Вложения в нефинансовые активы», 105 00 «Материальные запасы», 110 00 "Затраты на </w:t>
      </w:r>
      <w:proofErr w:type="spellStart"/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биотрансформацию</w:t>
      </w:r>
      <w:proofErr w:type="spellEnd"/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", 201 35 "Денежные документы", 401 50 "Расходы будущих периодов".</w:t>
      </w:r>
      <w:proofErr w:type="gramEnd"/>
    </w:p>
    <w:p w:rsidR="00DF57E7" w:rsidRPr="00DF57E7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Списание неиспользованной суммы ранее сформированного резерва под приемку оформляется Бухгалтерской справкой (ф. 0504833), составленной на основании мотивированного отказа от подписания документа о приемке, Акта приемки товаров, работ, услуг (ф. 0510452) с расхождениями.</w:t>
      </w:r>
    </w:p>
    <w:p w:rsidR="00DF57E7" w:rsidRPr="00DF57E7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2.17.12. </w:t>
      </w:r>
      <w:proofErr w:type="gramStart"/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Резерв под обязательства, по которым отсутствуют первичные </w:t>
      </w:r>
      <w:r w:rsidRPr="00EB78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документы, а именно по </w:t>
      </w:r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обязательствам, в отношении которых </w:t>
      </w:r>
      <w:r w:rsidRPr="00EB78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отчетную дату существует неопределенность по их размеру</w:t>
      </w:r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из-за отсутствия первичных документов, создается в целях своевременного отражения в учете и отчетности расходов Учреждения на основании предварительной расчетно-документальной оценки обязанности Учреждения произвести оплату за фактически потребленные услуги. </w:t>
      </w:r>
      <w:proofErr w:type="gramEnd"/>
    </w:p>
    <w:p w:rsidR="00DF57E7" w:rsidRPr="00EB7840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Резерв создается </w:t>
      </w:r>
      <w:r w:rsidRPr="00EB78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отсутствии условий о приемке:</w:t>
      </w:r>
    </w:p>
    <w:p w:rsidR="00DF57E7" w:rsidRPr="00EB7840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B78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по коммунальным услугам;</w:t>
      </w:r>
    </w:p>
    <w:p w:rsidR="00DF57E7" w:rsidRPr="00EB7840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B78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по услугам связи.</w:t>
      </w:r>
    </w:p>
    <w:p w:rsidR="00DF57E7" w:rsidRPr="00DF57E7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8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Периодичность создания резерва – ежеквартально. </w:t>
      </w:r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 признается в учете последним днем отчетного периода (квартала, года для услуг за декабрь).</w:t>
      </w:r>
    </w:p>
    <w:p w:rsidR="00DF57E7" w:rsidRPr="00DF57E7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объема потребленных за последний месяц отчетного периода коммунальных услуг (тепло, вода, электроэнергия) производится сотрудником Бухгалтерии на основании показаний приборов учета (счетчиков) и тарифов, установленных для оплаты определенных ресурсов. Информация о показаниях приборов учета (счетчиков) за последний месяц отчетного квартала предоставляется лицом, ответственным за передачу показаний приборов учета поставщикам услуг, в течение трех рабочих дней месяца, следующего за кварталом. </w:t>
      </w:r>
    </w:p>
    <w:p w:rsidR="00DF57E7" w:rsidRPr="00EB7840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Расчет объема потребленных за последний месяц отчетного периода услуг связи производится сотрудником Бухгалтерии на основании данных о количестве и длительности телефонных разговоров, тарифов, размера ежемесячной абонентской платы и т. д. Информация о количестве и длительности телефонных разговоров, иные сведения за последний месяц отчетного квартала запрашивается у поставщика (контрагента, оказывающего услуги связи)  сотрудником Бухгалтерии в течение трех рабочих дней месяца, следующего</w:t>
      </w:r>
      <w:proofErr w:type="gramEnd"/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кварталом.</w:t>
      </w:r>
    </w:p>
    <w:p w:rsidR="00DF57E7" w:rsidRPr="00DF57E7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Резерв в объеме потребленных коммунальных услуг (услуг связи) за последний месяц отчетного периода (квартала, года для услуг за декабрь) формируется, </w:t>
      </w:r>
      <w:r w:rsidRPr="00EB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на последнюю дату отчетного периода </w:t>
      </w:r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(квартала, года для документов за декабрь отчетного года)</w:t>
      </w:r>
      <w:r w:rsidRPr="00EB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 первичные документы поставщика за последний месяц данного отчетного периода - </w:t>
      </w:r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за последний месяц отчетного периода не поступили в Учреждение до конца отчетного периода).</w:t>
      </w:r>
      <w:proofErr w:type="gramEnd"/>
    </w:p>
    <w:p w:rsidR="00E64ED3" w:rsidRPr="00EB7840" w:rsidRDefault="00E64ED3" w:rsidP="00E64ED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B7840">
        <w:rPr>
          <w:rFonts w:ascii="Times New Roman" w:hAnsi="Times New Roman" w:cs="Times New Roman"/>
          <w:sz w:val="24"/>
          <w:szCs w:val="24"/>
        </w:rPr>
        <w:t>Резерв списывается последним днем отчетного периода (квартала, года для резерва за декабрь) при условии, что документы за последний месяц отчетного периода поступили за день до даты, предшествующей дате составления и представления квартальной, годовой (для документов за декабрь отчетного года) отчетности.</w:t>
      </w:r>
    </w:p>
    <w:p w:rsidR="00E64ED3" w:rsidRPr="00EB7840" w:rsidRDefault="00E64ED3" w:rsidP="00E64ED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B7840">
        <w:rPr>
          <w:rFonts w:ascii="Times New Roman" w:hAnsi="Times New Roman" w:cs="Times New Roman"/>
          <w:sz w:val="24"/>
          <w:szCs w:val="24"/>
        </w:rPr>
        <w:t>Если документы за последний месяц отчетного периода поступили после указанной даты, резерв списывается в следующем отчетном периоде датой поступления первичного документа</w:t>
      </w:r>
    </w:p>
    <w:p w:rsidR="00DF57E7" w:rsidRPr="00DF57E7" w:rsidRDefault="00EB7840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F57E7"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F57E7"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 по арендным платежам, учтенный на счетах 0 401 60 224 "Резерв предстоящих расходов по арендной плате за пользование имуществом", 0 401 60 229 "Резерв предстоящих расходов по арендной плате за пользование земельными участками и другими обособленными природными объектами",  уменьшается одновременно с признанием  денежных обязательств и начислением кредиторской задолженности по оплате арендной платы за счет суммы созданного резерва в соответствии</w:t>
      </w:r>
      <w:proofErr w:type="gramEnd"/>
      <w:r w:rsidR="00DF57E7"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графиком платежей, установленных договором аренды. </w:t>
      </w:r>
    </w:p>
    <w:p w:rsidR="00DF57E7" w:rsidRPr="00DF57E7" w:rsidRDefault="00DF57E7" w:rsidP="00DF5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Ежемесячно (с иной периодичностью уплаты, установленной графиком платежей согласно договору аренды) на основании информации в Карточке учета права пользования нефинансовым активом (ф. 0509214) о периодичности уплаты и сумме арендной платы за период, с учетом </w:t>
      </w:r>
      <w:proofErr w:type="gramStart"/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начисления амортизации права пользования</w:t>
      </w:r>
      <w:proofErr w:type="gramEnd"/>
      <w:r w:rsidRPr="00DF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активом в учете формируется Бухгалтерская справка (ф. 0504833) на списание резерва.</w:t>
      </w:r>
    </w:p>
    <w:p w:rsidR="00642834" w:rsidRPr="00EB7840" w:rsidRDefault="00642834">
      <w:pPr>
        <w:rPr>
          <w:rFonts w:ascii="Times New Roman" w:hAnsi="Times New Roman" w:cs="Times New Roman"/>
          <w:sz w:val="24"/>
          <w:szCs w:val="24"/>
        </w:rPr>
      </w:pPr>
    </w:p>
    <w:sectPr w:rsidR="00642834" w:rsidRPr="00EB7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7E7"/>
    <w:rsid w:val="00297733"/>
    <w:rsid w:val="00642834"/>
    <w:rsid w:val="00DE3C0E"/>
    <w:rsid w:val="00DF57E7"/>
    <w:rsid w:val="00E64ED3"/>
    <w:rsid w:val="00EB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7E7"/>
    <w:rPr>
      <w:rFonts w:ascii="Times New Roman" w:hAnsi="Times New Roman" w:cs="Times New Roman"/>
      <w:sz w:val="24"/>
      <w:szCs w:val="24"/>
    </w:rPr>
  </w:style>
  <w:style w:type="character" w:styleId="a4">
    <w:name w:val="annotation reference"/>
    <w:uiPriority w:val="99"/>
    <w:semiHidden/>
    <w:unhideWhenUsed/>
    <w:rsid w:val="00DF57E7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F57E7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DF57E7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DF57E7"/>
    <w:rPr>
      <w:color w:val="0000FF"/>
      <w:u w:val="single"/>
    </w:rPr>
  </w:style>
  <w:style w:type="paragraph" w:customStyle="1" w:styleId="s16">
    <w:name w:val="s_16"/>
    <w:basedOn w:val="a"/>
    <w:rsid w:val="00DF57E7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57E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B7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7E7"/>
    <w:rPr>
      <w:rFonts w:ascii="Times New Roman" w:hAnsi="Times New Roman" w:cs="Times New Roman"/>
      <w:sz w:val="24"/>
      <w:szCs w:val="24"/>
    </w:rPr>
  </w:style>
  <w:style w:type="character" w:styleId="a4">
    <w:name w:val="annotation reference"/>
    <w:uiPriority w:val="99"/>
    <w:semiHidden/>
    <w:unhideWhenUsed/>
    <w:rsid w:val="00DF57E7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F57E7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DF57E7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DF57E7"/>
    <w:rPr>
      <w:color w:val="0000FF"/>
      <w:u w:val="single"/>
    </w:rPr>
  </w:style>
  <w:style w:type="paragraph" w:customStyle="1" w:styleId="s16">
    <w:name w:val="s_16"/>
    <w:basedOn w:val="a"/>
    <w:rsid w:val="00DF57E7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57E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B7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</dc:creator>
  <cp:lastModifiedBy>Татьяна Дмитриевна</cp:lastModifiedBy>
  <cp:revision>3</cp:revision>
  <dcterms:created xsi:type="dcterms:W3CDTF">2026-01-11T06:13:00Z</dcterms:created>
  <dcterms:modified xsi:type="dcterms:W3CDTF">2026-01-12T06:48:00Z</dcterms:modified>
</cp:coreProperties>
</file>